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3C857" w14:textId="611086CB" w:rsidR="00510CCB" w:rsidRPr="007803C9" w:rsidRDefault="007803C9" w:rsidP="007803C9">
      <w:pPr>
        <w:rPr>
          <w:color w:val="FF0000"/>
          <w:sz w:val="38"/>
          <w:szCs w:val="38"/>
        </w:rPr>
      </w:pPr>
      <w:r w:rsidRPr="007803C9">
        <w:rPr>
          <w:b/>
          <w:bCs/>
          <w:color w:val="FF0000"/>
          <w:sz w:val="38"/>
          <w:szCs w:val="38"/>
        </w:rPr>
        <w:t>What's new in drug therapy</w:t>
      </w:r>
      <w:r w:rsidRPr="007803C9">
        <w:rPr>
          <w:b/>
          <w:bCs/>
          <w:color w:val="FF0000"/>
          <w:sz w:val="38"/>
          <w:szCs w:val="38"/>
        </w:rPr>
        <w:t xml:space="preserve">    </w:t>
      </w:r>
      <w:r w:rsidR="00F86030" w:rsidRPr="007803C9">
        <w:rPr>
          <w:b/>
          <w:bCs/>
          <w:color w:val="00B050"/>
          <w:sz w:val="38"/>
          <w:szCs w:val="38"/>
        </w:rPr>
        <w:t>March 2025</w:t>
      </w:r>
    </w:p>
    <w:p w14:paraId="26C875ED" w14:textId="77777777" w:rsidR="0006499B" w:rsidRPr="0006499B" w:rsidRDefault="0006499B" w:rsidP="0006499B">
      <w:r w:rsidRPr="0006499B">
        <w:rPr>
          <w:b/>
          <w:bCs/>
        </w:rPr>
        <w:t>ADVERSE REACTIONS AND WARNINGS</w:t>
      </w:r>
    </w:p>
    <w:p w14:paraId="7360D737" w14:textId="77777777" w:rsidR="0006499B" w:rsidRPr="0006499B" w:rsidRDefault="0006499B" w:rsidP="0006499B">
      <w:r w:rsidRPr="0006499B">
        <w:rPr>
          <w:b/>
          <w:bCs/>
        </w:rPr>
        <w:t>Monitoring neutrophil count during clozapine treatment (March 2025)</w:t>
      </w:r>
    </w:p>
    <w:p w14:paraId="652D5C2E" w14:textId="77777777" w:rsidR="0006499B" w:rsidRPr="0006499B" w:rsidRDefault="0006499B" w:rsidP="0006499B">
      <w:hyperlink r:id="rId4" w:history="1">
        <w:r w:rsidRPr="0006499B">
          <w:rPr>
            <w:rStyle w:val="Hyperlink"/>
          </w:rPr>
          <w:t>Clozapine</w:t>
        </w:r>
      </w:hyperlink>
      <w:r w:rsidRPr="0006499B">
        <w:t> is effective for treatment of resistant schizophrenia or schizophrenia accompanied by persistent suicidality. However, the need for frequent neutrophil count monitoring through the Clozapine Risk Evaluation and Mitigation Strategy (REMS) program has been a barrier resulting in its underutilization. The US Food and Drug Administration has voted to abolish the REMS program after determining that it did not measurably mitigate the risk of neutropenia beyond what the labeling alone could accomplish [</w:t>
      </w:r>
      <w:hyperlink r:id="rId5" w:history="1">
        <w:r w:rsidRPr="0006499B">
          <w:rPr>
            <w:rStyle w:val="Hyperlink"/>
          </w:rPr>
          <w:t>9</w:t>
        </w:r>
      </w:hyperlink>
      <w:r w:rsidRPr="0006499B">
        <w:t>]. Clinicians are encouraged to monitor neutrophil counts as detailed in the prescribing information until new evidence-based guidelines for clozapine initiation and monitoring are suggested. (See </w:t>
      </w:r>
      <w:hyperlink r:id="rId6" w:anchor="H2966456257" w:history="1">
        <w:r w:rsidRPr="0006499B">
          <w:rPr>
            <w:rStyle w:val="Hyperlink"/>
          </w:rPr>
          <w:t>"Schizophrenia in adults: Guidelines for prescribing clozapine", section on 'Neutrophil count'</w:t>
        </w:r>
      </w:hyperlink>
      <w:r w:rsidRPr="0006499B">
        <w:t>.)</w:t>
      </w:r>
    </w:p>
    <w:p w14:paraId="635439E7" w14:textId="77777777" w:rsidR="0006499B" w:rsidRPr="0006499B" w:rsidRDefault="0006499B" w:rsidP="0006499B">
      <w:r w:rsidRPr="0006499B">
        <w:rPr>
          <w:b/>
          <w:bCs/>
        </w:rPr>
        <w:t>RECENT APPROVALS - ONCOLOGIC</w:t>
      </w:r>
    </w:p>
    <w:p w14:paraId="313E5080" w14:textId="77777777" w:rsidR="0006499B" w:rsidRPr="0006499B" w:rsidRDefault="0006499B" w:rsidP="0006499B">
      <w:r w:rsidRPr="0006499B">
        <w:rPr>
          <w:b/>
          <w:bCs/>
        </w:rPr>
        <w:t>Nivolumab-hyaluronidase for advanced renal cell carcinoma (March 2025)</w:t>
      </w:r>
    </w:p>
    <w:p w14:paraId="3EA30276" w14:textId="77777777" w:rsidR="0006499B" w:rsidRPr="0006499B" w:rsidRDefault="0006499B" w:rsidP="0006499B">
      <w:r w:rsidRPr="0006499B">
        <w:t>There is interest in the use of </w:t>
      </w:r>
      <w:hyperlink r:id="rId7" w:history="1">
        <w:r w:rsidRPr="0006499B">
          <w:rPr>
            <w:rStyle w:val="Hyperlink"/>
          </w:rPr>
          <w:t>nivolumab-hyaluronidase</w:t>
        </w:r>
      </w:hyperlink>
      <w:r w:rsidRPr="0006499B">
        <w:t>, a subcutaneous form of </w:t>
      </w:r>
      <w:hyperlink r:id="rId8" w:history="1">
        <w:r w:rsidRPr="0006499B">
          <w:rPr>
            <w:rStyle w:val="Hyperlink"/>
          </w:rPr>
          <w:t>nivolumab</w:t>
        </w:r>
      </w:hyperlink>
      <w:r w:rsidRPr="0006499B">
        <w:t>, in cancers such as renal cell carcinoma (RCC) to reduce drug preparation and administration time. In a randomized trial of almost 500 patients with treatment-refractory advanced or metastatic clear cell RCC and no prior immunotherapy, nivolumab-hyaluronidase demonstrated similar pharmacokinetics and objective response rates relative to intravenous (IV) nivolumab (24 versus 18 percent) [</w:t>
      </w:r>
      <w:hyperlink r:id="rId9" w:history="1">
        <w:r w:rsidRPr="0006499B">
          <w:rPr>
            <w:rStyle w:val="Hyperlink"/>
          </w:rPr>
          <w:t>31</w:t>
        </w:r>
      </w:hyperlink>
      <w:r w:rsidRPr="0006499B">
        <w:t>]. Based on these data, the United States Food and Drug Administration approved nivolumab-hyaluronidase in patients with advanced RCC that is intermediate or poor risk as maintenance therapy following combination IV nivolumab plus </w:t>
      </w:r>
      <w:hyperlink r:id="rId10" w:history="1">
        <w:r w:rsidRPr="0006499B">
          <w:rPr>
            <w:rStyle w:val="Hyperlink"/>
          </w:rPr>
          <w:t>ipilimumab</w:t>
        </w:r>
      </w:hyperlink>
      <w:r w:rsidRPr="0006499B">
        <w:t> as well as those with advanced RCC who received prior antiangiogenic therapy [</w:t>
      </w:r>
      <w:hyperlink r:id="rId11" w:history="1">
        <w:r w:rsidRPr="0006499B">
          <w:rPr>
            <w:rStyle w:val="Hyperlink"/>
          </w:rPr>
          <w:t>7</w:t>
        </w:r>
      </w:hyperlink>
      <w:r w:rsidRPr="0006499B">
        <w:t>]. (See </w:t>
      </w:r>
      <w:hyperlink r:id="rId12" w:anchor="H2509624921" w:history="1">
        <w:r w:rsidRPr="0006499B">
          <w:rPr>
            <w:rStyle w:val="Hyperlink"/>
          </w:rPr>
          <w:t>"Systemic therapy for advanced and metastatic clear cell renal cell carcinoma", section on 'Nivolumab-hyaluronidase (subcutaneous)'</w:t>
        </w:r>
      </w:hyperlink>
      <w:r w:rsidRPr="0006499B">
        <w:t>.)</w:t>
      </w:r>
    </w:p>
    <w:p w14:paraId="0EA2390B" w14:textId="77777777" w:rsidR="0006499B" w:rsidRPr="0006499B" w:rsidRDefault="0006499B" w:rsidP="0006499B">
      <w:proofErr w:type="spellStart"/>
      <w:r w:rsidRPr="0006499B">
        <w:rPr>
          <w:b/>
          <w:bCs/>
        </w:rPr>
        <w:t>Vimseltinib</w:t>
      </w:r>
      <w:proofErr w:type="spellEnd"/>
      <w:r w:rsidRPr="0006499B">
        <w:rPr>
          <w:b/>
          <w:bCs/>
        </w:rPr>
        <w:t xml:space="preserve"> for </w:t>
      </w:r>
      <w:proofErr w:type="spellStart"/>
      <w:r w:rsidRPr="0006499B">
        <w:rPr>
          <w:b/>
          <w:bCs/>
        </w:rPr>
        <w:t>tenosynovial</w:t>
      </w:r>
      <w:proofErr w:type="spellEnd"/>
      <w:r w:rsidRPr="0006499B">
        <w:rPr>
          <w:b/>
          <w:bCs/>
        </w:rPr>
        <w:t xml:space="preserve"> giant cell tumor (March 2025)</w:t>
      </w:r>
    </w:p>
    <w:p w14:paraId="00731C1D" w14:textId="77777777" w:rsidR="0006499B" w:rsidRPr="0006499B" w:rsidRDefault="0006499B" w:rsidP="0006499B">
      <w:hyperlink r:id="rId13" w:history="1">
        <w:proofErr w:type="spellStart"/>
        <w:r w:rsidRPr="0006499B">
          <w:rPr>
            <w:rStyle w:val="Hyperlink"/>
          </w:rPr>
          <w:t>Vimseltinib</w:t>
        </w:r>
        <w:proofErr w:type="spellEnd"/>
      </w:hyperlink>
      <w:r w:rsidRPr="0006499B">
        <w:t xml:space="preserve">, a tyrosine kinase inhibitor, has been approved by the US Food and Drug Administration for patients with </w:t>
      </w:r>
      <w:proofErr w:type="spellStart"/>
      <w:r w:rsidRPr="0006499B">
        <w:t>tenosynovial</w:t>
      </w:r>
      <w:proofErr w:type="spellEnd"/>
      <w:r w:rsidRPr="0006499B">
        <w:t xml:space="preserve"> giant cell tumor (TGCT) for whom additional surgery would cause functional limitations or severe morbidity [</w:t>
      </w:r>
      <w:hyperlink r:id="rId14" w:history="1">
        <w:r w:rsidRPr="0006499B">
          <w:rPr>
            <w:rStyle w:val="Hyperlink"/>
          </w:rPr>
          <w:t>32</w:t>
        </w:r>
      </w:hyperlink>
      <w:r w:rsidRPr="0006499B">
        <w:t>]. It was approved based on an earlier placebo-controlled randomized trial that demonstrated an objective response rate of 40 percent in such patients [</w:t>
      </w:r>
      <w:hyperlink r:id="rId15" w:history="1">
        <w:r w:rsidRPr="0006499B">
          <w:rPr>
            <w:rStyle w:val="Hyperlink"/>
          </w:rPr>
          <w:t>33</w:t>
        </w:r>
      </w:hyperlink>
      <w:r w:rsidRPr="0006499B">
        <w:t>]. In the trial there were no cases of drug-induced liver injury or potentially fatal hepatotoxicity, which has been observed with </w:t>
      </w:r>
      <w:proofErr w:type="spellStart"/>
      <w:r w:rsidRPr="0006499B">
        <w:fldChar w:fldCharType="begin"/>
      </w:r>
      <w:r w:rsidRPr="0006499B">
        <w:instrText>HYPERLINK "https://www4.utdos.ir/contents/pexidartinib-drug-information?topicRef=8360&amp;source=see_link"</w:instrText>
      </w:r>
      <w:r w:rsidRPr="0006499B">
        <w:fldChar w:fldCharType="separate"/>
      </w:r>
      <w:r w:rsidRPr="0006499B">
        <w:rPr>
          <w:rStyle w:val="Hyperlink"/>
        </w:rPr>
        <w:t>pexidartinib</w:t>
      </w:r>
      <w:proofErr w:type="spellEnd"/>
      <w:r w:rsidRPr="0006499B">
        <w:fldChar w:fldCharType="end"/>
      </w:r>
      <w:r w:rsidRPr="0006499B">
        <w:t xml:space="preserve">, an alternative agent for TGCT. We now suggest </w:t>
      </w:r>
      <w:proofErr w:type="spellStart"/>
      <w:r w:rsidRPr="0006499B">
        <w:t>vimseltinib</w:t>
      </w:r>
      <w:proofErr w:type="spellEnd"/>
      <w:r w:rsidRPr="0006499B">
        <w:t xml:space="preserve"> instead of </w:t>
      </w:r>
      <w:proofErr w:type="spellStart"/>
      <w:r w:rsidRPr="0006499B">
        <w:t>pexidartinib</w:t>
      </w:r>
      <w:proofErr w:type="spellEnd"/>
      <w:r w:rsidRPr="0006499B">
        <w:t xml:space="preserve"> for adult patients with TGCT. </w:t>
      </w:r>
      <w:r w:rsidRPr="0006499B">
        <w:lastRenderedPageBreak/>
        <w:t>(See </w:t>
      </w:r>
      <w:hyperlink r:id="rId16" w:anchor="H1490208945" w:history="1">
        <w:r w:rsidRPr="0006499B">
          <w:rPr>
            <w:rStyle w:val="Hyperlink"/>
          </w:rPr>
          <w:t xml:space="preserve">"Treatment for </w:t>
        </w:r>
        <w:proofErr w:type="spellStart"/>
        <w:r w:rsidRPr="0006499B">
          <w:rPr>
            <w:rStyle w:val="Hyperlink"/>
          </w:rPr>
          <w:t>tenosynovial</w:t>
        </w:r>
        <w:proofErr w:type="spellEnd"/>
        <w:r w:rsidRPr="0006499B">
          <w:rPr>
            <w:rStyle w:val="Hyperlink"/>
          </w:rPr>
          <w:t xml:space="preserve"> giant cell tumor and other benign neoplasms affecting soft tissue and bone", section on '</w:t>
        </w:r>
        <w:proofErr w:type="spellStart"/>
        <w:r w:rsidRPr="0006499B">
          <w:rPr>
            <w:rStyle w:val="Hyperlink"/>
          </w:rPr>
          <w:t>Vimseltinib</w:t>
        </w:r>
        <w:proofErr w:type="spellEnd"/>
        <w:r w:rsidRPr="0006499B">
          <w:rPr>
            <w:rStyle w:val="Hyperlink"/>
          </w:rPr>
          <w:t xml:space="preserve"> (preferred)'</w:t>
        </w:r>
      </w:hyperlink>
      <w:r w:rsidRPr="0006499B">
        <w:t>.)</w:t>
      </w:r>
    </w:p>
    <w:p w14:paraId="1AD3E4EC" w14:textId="77777777" w:rsidR="0006499B" w:rsidRPr="0006499B" w:rsidRDefault="0006499B" w:rsidP="0006499B">
      <w:r w:rsidRPr="0006499B">
        <w:rPr>
          <w:b/>
          <w:bCs/>
        </w:rPr>
        <w:t>RECENT APPROVALS - OTHER</w:t>
      </w:r>
    </w:p>
    <w:p w14:paraId="4E01EA4E" w14:textId="77777777" w:rsidR="0006499B" w:rsidRPr="0006499B" w:rsidRDefault="0006499B" w:rsidP="0006499B">
      <w:r w:rsidRPr="0006499B">
        <w:rPr>
          <w:b/>
          <w:bCs/>
        </w:rPr>
        <w:t>New copper 175 mm2 intrauterine device (March 2025)</w:t>
      </w:r>
    </w:p>
    <w:p w14:paraId="3A86917F" w14:textId="77777777" w:rsidR="0006499B" w:rsidRPr="0006499B" w:rsidRDefault="0006499B" w:rsidP="0006499B">
      <w:r w:rsidRPr="0006499B">
        <w:t>Patients who desire long-acting contraception will have two copper intrauterine devices (IUDs) to consider. The novel copper 175 mm</w:t>
      </w:r>
      <w:r w:rsidRPr="0006499B">
        <w:rPr>
          <w:vertAlign w:val="superscript"/>
        </w:rPr>
        <w:t>2 </w:t>
      </w:r>
      <w:r w:rsidRPr="0006499B">
        <w:t xml:space="preserve">device (commercial name </w:t>
      </w:r>
      <w:proofErr w:type="spellStart"/>
      <w:r w:rsidRPr="0006499B">
        <w:t>Miudella</w:t>
      </w:r>
      <w:proofErr w:type="spellEnd"/>
      <w:r w:rsidRPr="0006499B">
        <w:t>) has been approved for three years of use and will be commercially available later in 2025 [</w:t>
      </w:r>
      <w:hyperlink r:id="rId17" w:history="1">
        <w:r w:rsidRPr="0006499B">
          <w:rPr>
            <w:rStyle w:val="Hyperlink"/>
          </w:rPr>
          <w:t>46</w:t>
        </w:r>
      </w:hyperlink>
      <w:r w:rsidRPr="0006499B">
        <w:t>]. Compared with the copper 380 mm</w:t>
      </w:r>
      <w:r w:rsidRPr="0006499B">
        <w:rPr>
          <w:vertAlign w:val="superscript"/>
        </w:rPr>
        <w:t>2</w:t>
      </w:r>
      <w:r w:rsidRPr="0006499B">
        <w:t> IUD, the new device has less than half the copper, which may reduce uterine cramping and bleeding; the applicator has a smaller diameter and is rounded, which may make placement easier for nulliparous patients or those with cervical stenosis; and the nitinol frame is flexible, which may better adapt to the intrauterine cavity and potentially reduce expulsion risk. (See </w:t>
      </w:r>
      <w:hyperlink r:id="rId18" w:anchor="H717555817" w:history="1">
        <w:r w:rsidRPr="0006499B">
          <w:rPr>
            <w:rStyle w:val="Hyperlink"/>
          </w:rPr>
          <w:t>"Intrauterine contraception: Background and device types", section on 'Device types and characteristics'</w:t>
        </w:r>
      </w:hyperlink>
      <w:r w:rsidRPr="0006499B">
        <w:t>.)</w:t>
      </w:r>
    </w:p>
    <w:p w14:paraId="578882D6" w14:textId="77777777" w:rsidR="0006499B" w:rsidRPr="0006499B" w:rsidRDefault="0006499B" w:rsidP="0006499B">
      <w:proofErr w:type="spellStart"/>
      <w:r w:rsidRPr="0006499B">
        <w:rPr>
          <w:b/>
          <w:bCs/>
        </w:rPr>
        <w:t>Suzetrigine</w:t>
      </w:r>
      <w:proofErr w:type="spellEnd"/>
      <w:r w:rsidRPr="0006499B">
        <w:rPr>
          <w:b/>
          <w:bCs/>
        </w:rPr>
        <w:t>, a first-in-class nonopioid analgesic, now available for acute pain (March 2025)</w:t>
      </w:r>
    </w:p>
    <w:p w14:paraId="2B103372" w14:textId="77777777" w:rsidR="0006499B" w:rsidRPr="0006499B" w:rsidRDefault="0006499B" w:rsidP="0006499B">
      <w:hyperlink r:id="rId19" w:history="1">
        <w:proofErr w:type="spellStart"/>
        <w:r w:rsidRPr="0006499B">
          <w:rPr>
            <w:rStyle w:val="Hyperlink"/>
          </w:rPr>
          <w:t>Suzetrigine</w:t>
        </w:r>
        <w:proofErr w:type="spellEnd"/>
      </w:hyperlink>
      <w:r w:rsidRPr="0006499B">
        <w:t xml:space="preserve">, a first-in-class nonopioid oral analgesic, has been approved by the US Food and Drug Administration for management of acute pain in adults and is now available. </w:t>
      </w:r>
      <w:proofErr w:type="spellStart"/>
      <w:r w:rsidRPr="0006499B">
        <w:t>Suzetrigine</w:t>
      </w:r>
      <w:proofErr w:type="spellEnd"/>
      <w:r w:rsidRPr="0006499B">
        <w:t xml:space="preserve"> is a selective inhibitor of the Na</w:t>
      </w:r>
      <w:r w:rsidRPr="0006499B">
        <w:rPr>
          <w:vertAlign w:val="subscript"/>
        </w:rPr>
        <w:t>v </w:t>
      </w:r>
      <w:r w:rsidRPr="0006499B">
        <w:t xml:space="preserve">1.8 voltage-gated sodium channel, which is expressed in the dorsal root ganglia and is involved in transmission of nociceptive signals to the spinal cord. In randomized trials of 303 patients who had acute pain after abdominoplasty and 274 patients after bunionectomy, </w:t>
      </w:r>
      <w:proofErr w:type="spellStart"/>
      <w:r w:rsidRPr="0006499B">
        <w:t>suzetrigine</w:t>
      </w:r>
      <w:proofErr w:type="spellEnd"/>
      <w:r w:rsidRPr="0006499B">
        <w:t xml:space="preserve"> (100 mg orally followed by 50 mg orally every 12 hours) reduced pain scores compared with </w:t>
      </w:r>
      <w:hyperlink r:id="rId20" w:history="1">
        <w:r w:rsidRPr="0006499B">
          <w:rPr>
            <w:rStyle w:val="Hyperlink"/>
          </w:rPr>
          <w:t>hydrocodone</w:t>
        </w:r>
      </w:hyperlink>
      <w:r w:rsidRPr="0006499B">
        <w:t>/</w:t>
      </w:r>
      <w:hyperlink r:id="rId21" w:history="1">
        <w:r w:rsidRPr="0006499B">
          <w:rPr>
            <w:rStyle w:val="Hyperlink"/>
          </w:rPr>
          <w:t>acetaminophen</w:t>
        </w:r>
      </w:hyperlink>
      <w:r w:rsidRPr="0006499B">
        <w:t> (5 mg/325 mg orally every six hours) or placebo [</w:t>
      </w:r>
      <w:hyperlink r:id="rId22" w:history="1">
        <w:r w:rsidRPr="0006499B">
          <w:rPr>
            <w:rStyle w:val="Hyperlink"/>
          </w:rPr>
          <w:t>47</w:t>
        </w:r>
      </w:hyperlink>
      <w:r w:rsidRPr="0006499B">
        <w:t xml:space="preserve">]. Further study is required to determine the role of </w:t>
      </w:r>
      <w:proofErr w:type="spellStart"/>
      <w:r w:rsidRPr="0006499B">
        <w:t>suzetrigine</w:t>
      </w:r>
      <w:proofErr w:type="spellEnd"/>
      <w:r w:rsidRPr="0006499B">
        <w:t xml:space="preserve"> in acute pain management. (See </w:t>
      </w:r>
      <w:hyperlink r:id="rId23" w:anchor="H510493951" w:history="1">
        <w:r w:rsidRPr="0006499B">
          <w:rPr>
            <w:rStyle w:val="Hyperlink"/>
          </w:rPr>
          <w:t>"Nonopioid pharmacotherapy for acute pain in adults", section on '</w:t>
        </w:r>
        <w:proofErr w:type="spellStart"/>
        <w:r w:rsidRPr="0006499B">
          <w:rPr>
            <w:rStyle w:val="Hyperlink"/>
          </w:rPr>
          <w:t>Suzetrigine</w:t>
        </w:r>
        <w:proofErr w:type="spellEnd"/>
        <w:r w:rsidRPr="0006499B">
          <w:rPr>
            <w:rStyle w:val="Hyperlink"/>
          </w:rPr>
          <w:t>, a novel Nav1.8 inhibitor'</w:t>
        </w:r>
      </w:hyperlink>
      <w:r w:rsidRPr="0006499B">
        <w:t>.)</w:t>
      </w:r>
    </w:p>
    <w:p w14:paraId="2AD0133A" w14:textId="77777777" w:rsidR="0006499B" w:rsidRDefault="0006499B"/>
    <w:sectPr w:rsidR="000649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99B"/>
    <w:rsid w:val="0006499B"/>
    <w:rsid w:val="000B1565"/>
    <w:rsid w:val="00313F44"/>
    <w:rsid w:val="004B5628"/>
    <w:rsid w:val="00510CCB"/>
    <w:rsid w:val="007803C9"/>
    <w:rsid w:val="008D0060"/>
    <w:rsid w:val="00A94DBC"/>
    <w:rsid w:val="00E577A7"/>
    <w:rsid w:val="00F86030"/>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48AA6"/>
  <w15:chartTrackingRefBased/>
  <w15:docId w15:val="{2B16461F-7587-4910-864E-B63B56CF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49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649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6499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649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649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649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49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49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49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99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6499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6499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6499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6499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649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49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49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499B"/>
    <w:rPr>
      <w:rFonts w:eastAsiaTheme="majorEastAsia" w:cstheme="majorBidi"/>
      <w:color w:val="272727" w:themeColor="text1" w:themeTint="D8"/>
    </w:rPr>
  </w:style>
  <w:style w:type="paragraph" w:styleId="Title">
    <w:name w:val="Title"/>
    <w:basedOn w:val="Normal"/>
    <w:next w:val="Normal"/>
    <w:link w:val="TitleChar"/>
    <w:uiPriority w:val="10"/>
    <w:qFormat/>
    <w:rsid w:val="000649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49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49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49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499B"/>
    <w:pPr>
      <w:spacing w:before="160"/>
      <w:jc w:val="center"/>
    </w:pPr>
    <w:rPr>
      <w:i/>
      <w:iCs/>
      <w:color w:val="404040" w:themeColor="text1" w:themeTint="BF"/>
    </w:rPr>
  </w:style>
  <w:style w:type="character" w:customStyle="1" w:styleId="QuoteChar">
    <w:name w:val="Quote Char"/>
    <w:basedOn w:val="DefaultParagraphFont"/>
    <w:link w:val="Quote"/>
    <w:uiPriority w:val="29"/>
    <w:rsid w:val="0006499B"/>
    <w:rPr>
      <w:i/>
      <w:iCs/>
      <w:color w:val="404040" w:themeColor="text1" w:themeTint="BF"/>
    </w:rPr>
  </w:style>
  <w:style w:type="paragraph" w:styleId="ListParagraph">
    <w:name w:val="List Paragraph"/>
    <w:basedOn w:val="Normal"/>
    <w:uiPriority w:val="34"/>
    <w:qFormat/>
    <w:rsid w:val="0006499B"/>
    <w:pPr>
      <w:ind w:left="720"/>
      <w:contextualSpacing/>
    </w:pPr>
  </w:style>
  <w:style w:type="character" w:styleId="IntenseEmphasis">
    <w:name w:val="Intense Emphasis"/>
    <w:basedOn w:val="DefaultParagraphFont"/>
    <w:uiPriority w:val="21"/>
    <w:qFormat/>
    <w:rsid w:val="0006499B"/>
    <w:rPr>
      <w:i/>
      <w:iCs/>
      <w:color w:val="2F5496" w:themeColor="accent1" w:themeShade="BF"/>
    </w:rPr>
  </w:style>
  <w:style w:type="paragraph" w:styleId="IntenseQuote">
    <w:name w:val="Intense Quote"/>
    <w:basedOn w:val="Normal"/>
    <w:next w:val="Normal"/>
    <w:link w:val="IntenseQuoteChar"/>
    <w:uiPriority w:val="30"/>
    <w:qFormat/>
    <w:rsid w:val="000649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6499B"/>
    <w:rPr>
      <w:i/>
      <w:iCs/>
      <w:color w:val="2F5496" w:themeColor="accent1" w:themeShade="BF"/>
    </w:rPr>
  </w:style>
  <w:style w:type="character" w:styleId="IntenseReference">
    <w:name w:val="Intense Reference"/>
    <w:basedOn w:val="DefaultParagraphFont"/>
    <w:uiPriority w:val="32"/>
    <w:qFormat/>
    <w:rsid w:val="0006499B"/>
    <w:rPr>
      <w:b/>
      <w:bCs/>
      <w:smallCaps/>
      <w:color w:val="2F5496" w:themeColor="accent1" w:themeShade="BF"/>
      <w:spacing w:val="5"/>
    </w:rPr>
  </w:style>
  <w:style w:type="character" w:styleId="Hyperlink">
    <w:name w:val="Hyperlink"/>
    <w:basedOn w:val="DefaultParagraphFont"/>
    <w:uiPriority w:val="99"/>
    <w:unhideWhenUsed/>
    <w:rsid w:val="0006499B"/>
    <w:rPr>
      <w:color w:val="0563C1" w:themeColor="hyperlink"/>
      <w:u w:val="single"/>
    </w:rPr>
  </w:style>
  <w:style w:type="character" w:styleId="UnresolvedMention">
    <w:name w:val="Unresolved Mention"/>
    <w:basedOn w:val="DefaultParagraphFont"/>
    <w:uiPriority w:val="99"/>
    <w:semiHidden/>
    <w:unhideWhenUsed/>
    <w:rsid w:val="00064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3052">
      <w:bodyDiv w:val="1"/>
      <w:marLeft w:val="0"/>
      <w:marRight w:val="0"/>
      <w:marTop w:val="0"/>
      <w:marBottom w:val="0"/>
      <w:divBdr>
        <w:top w:val="none" w:sz="0" w:space="0" w:color="auto"/>
        <w:left w:val="none" w:sz="0" w:space="0" w:color="auto"/>
        <w:bottom w:val="none" w:sz="0" w:space="0" w:color="auto"/>
        <w:right w:val="none" w:sz="0" w:space="0" w:color="auto"/>
      </w:divBdr>
    </w:div>
    <w:div w:id="340280436">
      <w:bodyDiv w:val="1"/>
      <w:marLeft w:val="0"/>
      <w:marRight w:val="0"/>
      <w:marTop w:val="0"/>
      <w:marBottom w:val="0"/>
      <w:divBdr>
        <w:top w:val="none" w:sz="0" w:space="0" w:color="auto"/>
        <w:left w:val="none" w:sz="0" w:space="0" w:color="auto"/>
        <w:bottom w:val="none" w:sz="0" w:space="0" w:color="auto"/>
        <w:right w:val="none" w:sz="0" w:space="0" w:color="auto"/>
      </w:divBdr>
    </w:div>
    <w:div w:id="626666647">
      <w:bodyDiv w:val="1"/>
      <w:marLeft w:val="0"/>
      <w:marRight w:val="0"/>
      <w:marTop w:val="0"/>
      <w:marBottom w:val="0"/>
      <w:divBdr>
        <w:top w:val="none" w:sz="0" w:space="0" w:color="auto"/>
        <w:left w:val="none" w:sz="0" w:space="0" w:color="auto"/>
        <w:bottom w:val="none" w:sz="0" w:space="0" w:color="auto"/>
        <w:right w:val="none" w:sz="0" w:space="0" w:color="auto"/>
      </w:divBdr>
    </w:div>
    <w:div w:id="1237593491">
      <w:bodyDiv w:val="1"/>
      <w:marLeft w:val="0"/>
      <w:marRight w:val="0"/>
      <w:marTop w:val="0"/>
      <w:marBottom w:val="0"/>
      <w:divBdr>
        <w:top w:val="none" w:sz="0" w:space="0" w:color="auto"/>
        <w:left w:val="none" w:sz="0" w:space="0" w:color="auto"/>
        <w:bottom w:val="none" w:sz="0" w:space="0" w:color="auto"/>
        <w:right w:val="none" w:sz="0" w:space="0" w:color="auto"/>
      </w:divBdr>
    </w:div>
    <w:div w:id="1395590184">
      <w:bodyDiv w:val="1"/>
      <w:marLeft w:val="0"/>
      <w:marRight w:val="0"/>
      <w:marTop w:val="0"/>
      <w:marBottom w:val="0"/>
      <w:divBdr>
        <w:top w:val="none" w:sz="0" w:space="0" w:color="auto"/>
        <w:left w:val="none" w:sz="0" w:space="0" w:color="auto"/>
        <w:bottom w:val="none" w:sz="0" w:space="0" w:color="auto"/>
        <w:right w:val="none" w:sz="0" w:space="0" w:color="auto"/>
      </w:divBdr>
    </w:div>
    <w:div w:id="144383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nivolumab-drug-information?topicRef=8360&amp;source=see_link" TargetMode="External"/><Relationship Id="rId13" Type="http://schemas.openxmlformats.org/officeDocument/2006/relationships/hyperlink" Target="https://www4.utdos.ir/contents/vimseltinib-drug-information?topicRef=8360&amp;source=see_link" TargetMode="External"/><Relationship Id="rId18" Type="http://schemas.openxmlformats.org/officeDocument/2006/relationships/hyperlink" Target="https://www4.utdos.ir/contents/intrauterine-contraception-background-and-device-types?sectionName=Device%20types%20and%20characteristics&amp;topicRef=8360&amp;anchor=H717555817&amp;source=see_link" TargetMode="External"/><Relationship Id="rId3" Type="http://schemas.openxmlformats.org/officeDocument/2006/relationships/webSettings" Target="webSettings.xml"/><Relationship Id="rId21" Type="http://schemas.openxmlformats.org/officeDocument/2006/relationships/hyperlink" Target="https://www4.utdos.ir/contents/acetaminophen-paracetamol-drug-information?topicRef=8360&amp;source=see_link" TargetMode="External"/><Relationship Id="rId7" Type="http://schemas.openxmlformats.org/officeDocument/2006/relationships/hyperlink" Target="https://www4.utdos.ir/contents/nivolumab-and-hyaluronidase-drug-information?topicRef=8360&amp;source=see_link" TargetMode="External"/><Relationship Id="rId12" Type="http://schemas.openxmlformats.org/officeDocument/2006/relationships/hyperlink" Target="https://www4.utdos.ir/contents/systemic-therapy-for-advanced-and-metastatic-clear-cell-renal-cell-carcinoma?sectionName=Nivolumab-hyaluronidase%20%28subcutaneous%29&amp;topicRef=8360&amp;anchor=H2509624921&amp;source=see_link" TargetMode="External"/><Relationship Id="rId17" Type="http://schemas.openxmlformats.org/officeDocument/2006/relationships/hyperlink" Target="https://www4.utdos.ir/contents/whats-new-in-drug-therapy/abstract/46"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4.utdos.ir/contents/treatment-for-tenosynovial-giant-cell-tumor-and-other-benign-neoplasms-affecting-soft-tissue-and-bone?sectionName=Vimseltinib%20%28preferred%29&amp;topicRef=8360&amp;anchor=H1490208945&amp;source=see_link" TargetMode="External"/><Relationship Id="rId20" Type="http://schemas.openxmlformats.org/officeDocument/2006/relationships/hyperlink" Target="https://www4.utdos.ir/contents/hydrocodone-drug-information?topicRef=8360&amp;source=see_link" TargetMode="External"/><Relationship Id="rId1" Type="http://schemas.openxmlformats.org/officeDocument/2006/relationships/styles" Target="styles.xml"/><Relationship Id="rId6" Type="http://schemas.openxmlformats.org/officeDocument/2006/relationships/hyperlink" Target="https://www4.utdos.ir/contents/schizophrenia-in-adults-guidelines-for-prescribing-clozapine?sectionName=Neutrophil%20count&amp;topicRef=8360&amp;anchor=H2966456257&amp;source=see_link" TargetMode="External"/><Relationship Id="rId11" Type="http://schemas.openxmlformats.org/officeDocument/2006/relationships/hyperlink" Target="https://www4.utdos.ir/contents/whats-new-in-drug-therapy/abstract/7" TargetMode="External"/><Relationship Id="rId24" Type="http://schemas.openxmlformats.org/officeDocument/2006/relationships/fontTable" Target="fontTable.xml"/><Relationship Id="rId5" Type="http://schemas.openxmlformats.org/officeDocument/2006/relationships/hyperlink" Target="https://www4.utdos.ir/contents/whats-new-in-drug-therapy/abstract/9" TargetMode="External"/><Relationship Id="rId15" Type="http://schemas.openxmlformats.org/officeDocument/2006/relationships/hyperlink" Target="https://www4.utdos.ir/contents/whats-new-in-drug-therapy/abstract/33" TargetMode="External"/><Relationship Id="rId23" Type="http://schemas.openxmlformats.org/officeDocument/2006/relationships/hyperlink" Target="https://www4.utdos.ir/contents/nonopioid-pharmacotherapy-for-acute-pain-in-adults?sectionName=Suzetrigine%2C%20a%20novel%20Nav1.8%20inhibitor&amp;topicRef=8360&amp;anchor=H510493951&amp;source=see_link" TargetMode="External"/><Relationship Id="rId10" Type="http://schemas.openxmlformats.org/officeDocument/2006/relationships/hyperlink" Target="https://www4.utdos.ir/contents/ipilimumab-drug-information?topicRef=8360&amp;source=see_link" TargetMode="External"/><Relationship Id="rId19" Type="http://schemas.openxmlformats.org/officeDocument/2006/relationships/hyperlink" Target="https://www4.utdos.ir/contents/suzetrigine-drug-information?topicRef=8360&amp;source=see_link" TargetMode="External"/><Relationship Id="rId4" Type="http://schemas.openxmlformats.org/officeDocument/2006/relationships/hyperlink" Target="https://www4.utdos.ir/contents/clozapine-drug-information?topicRef=8360&amp;source=see_link" TargetMode="External"/><Relationship Id="rId9" Type="http://schemas.openxmlformats.org/officeDocument/2006/relationships/hyperlink" Target="https://www4.utdos.ir/contents/whats-new-in-drug-therapy/abstract/31" TargetMode="External"/><Relationship Id="rId14" Type="http://schemas.openxmlformats.org/officeDocument/2006/relationships/hyperlink" Target="https://www4.utdos.ir/contents/whats-new-in-drug-therapy/abstract/32" TargetMode="External"/><Relationship Id="rId22" Type="http://schemas.openxmlformats.org/officeDocument/2006/relationships/hyperlink" Target="https://www4.utdos.ir/contents/whats-new-in-drug-therapy/abstract/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2025-03-30T06:12:00Z</dcterms:created>
  <dcterms:modified xsi:type="dcterms:W3CDTF">2025-03-30T06:17:00Z</dcterms:modified>
</cp:coreProperties>
</file>